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FD" w:rsidRPr="005505FF" w:rsidRDefault="004434FD">
      <w:pPr>
        <w:rPr>
          <w:rFonts w:ascii="Arial" w:hAnsi="Arial" w:cs="Arial"/>
          <w:color w:val="000000"/>
          <w:sz w:val="28"/>
          <w:szCs w:val="28"/>
        </w:rPr>
      </w:pPr>
      <w:r w:rsidRPr="005505FF">
        <w:rPr>
          <w:rFonts w:ascii="Arial" w:hAnsi="Arial" w:cs="Arial"/>
          <w:color w:val="000000"/>
          <w:sz w:val="28"/>
          <w:szCs w:val="28"/>
          <w:shd w:val="clear" w:color="auto" w:fill="FFFFFF"/>
        </w:rPr>
        <w:t xml:space="preserve">The learning experiences that compose a unit should, in the words of H. Lynn Erickson, "prepare students for success on the performance tasks [and] address </w:t>
      </w:r>
      <w:proofErr w:type="gramStart"/>
      <w:r w:rsidRPr="005505FF">
        <w:rPr>
          <w:rFonts w:ascii="Arial" w:hAnsi="Arial" w:cs="Arial"/>
          <w:color w:val="000000"/>
          <w:sz w:val="28"/>
          <w:szCs w:val="28"/>
          <w:shd w:val="clear" w:color="auto" w:fill="FFFFFF"/>
        </w:rPr>
        <w:t>the know</w:t>
      </w:r>
      <w:proofErr w:type="gramEnd"/>
      <w:r w:rsidRPr="005505FF">
        <w:rPr>
          <w:rFonts w:ascii="Arial" w:hAnsi="Arial" w:cs="Arial"/>
          <w:color w:val="000000"/>
          <w:sz w:val="28"/>
          <w:szCs w:val="28"/>
          <w:shd w:val="clear" w:color="auto" w:fill="FFFFFF"/>
        </w:rPr>
        <w:t xml:space="preserve">, understand, and able to do components in the unit" (Erikson, 2007, p. 72). </w:t>
      </w:r>
      <w:r w:rsidRPr="005505FF">
        <w:rPr>
          <w:rFonts w:ascii="Arial" w:hAnsi="Arial" w:cs="Arial"/>
          <w:color w:val="000000"/>
          <w:sz w:val="28"/>
          <w:szCs w:val="28"/>
        </w:rPr>
        <w:br/>
      </w:r>
      <w:r w:rsidRPr="005505FF">
        <w:rPr>
          <w:rFonts w:ascii="Arial" w:hAnsi="Arial" w:cs="Arial"/>
          <w:color w:val="000000"/>
          <w:sz w:val="28"/>
          <w:szCs w:val="28"/>
        </w:rPr>
        <w:br/>
      </w:r>
      <w:r w:rsidRPr="005505FF">
        <w:rPr>
          <w:rFonts w:ascii="Arial" w:hAnsi="Arial" w:cs="Arial"/>
          <w:color w:val="000000"/>
          <w:sz w:val="28"/>
          <w:szCs w:val="28"/>
          <w:shd w:val="clear" w:color="auto" w:fill="FFFFFF"/>
        </w:rPr>
        <w:t xml:space="preserve">Ultimately, the learning experiences are the heart of your unit plans and will help lead students to an understanding of the generalizations, content, and skills that make up your unit. These are activities, student performances, and lesson plans that are the 'meat' of your unit. </w:t>
      </w:r>
      <w:r w:rsidRPr="005505FF">
        <w:rPr>
          <w:rFonts w:ascii="Arial" w:hAnsi="Arial" w:cs="Arial"/>
          <w:color w:val="000000"/>
          <w:sz w:val="28"/>
          <w:szCs w:val="28"/>
        </w:rPr>
        <w:br/>
      </w:r>
      <w:r w:rsidRPr="005505FF">
        <w:rPr>
          <w:rFonts w:ascii="Arial" w:hAnsi="Arial" w:cs="Arial"/>
          <w:color w:val="000000"/>
          <w:sz w:val="28"/>
          <w:szCs w:val="28"/>
        </w:rPr>
        <w:br/>
      </w:r>
      <w:r w:rsidRPr="005505FF">
        <w:rPr>
          <w:rFonts w:ascii="Arial" w:hAnsi="Arial" w:cs="Arial"/>
          <w:color w:val="000000"/>
          <w:sz w:val="28"/>
          <w:szCs w:val="28"/>
          <w:shd w:val="clear" w:color="auto" w:fill="FFFFFF"/>
        </w:rPr>
        <w:t>Note that while the crafting of learning experiences follows the development of performance tasks and assessments, the actual instruction occurs before the final assessment!</w:t>
      </w:r>
    </w:p>
    <w:p w:rsidR="004434FD" w:rsidRPr="004434FD" w:rsidRDefault="004434FD" w:rsidP="004434FD">
      <w:pPr>
        <w:spacing w:after="0" w:line="240" w:lineRule="auto"/>
        <w:rPr>
          <w:rFonts w:ascii="Arial" w:eastAsia="Times New Roman" w:hAnsi="Arial" w:cs="Arial"/>
          <w:color w:val="000000"/>
          <w:sz w:val="28"/>
          <w:szCs w:val="28"/>
        </w:rPr>
      </w:pPr>
      <w:r w:rsidRPr="004434FD">
        <w:rPr>
          <w:rFonts w:ascii="Arial" w:eastAsia="Times New Roman" w:hAnsi="Arial" w:cs="Arial"/>
          <w:color w:val="000000"/>
          <w:sz w:val="28"/>
          <w:szCs w:val="28"/>
          <w:shd w:val="clear" w:color="auto" w:fill="FFFFFF"/>
        </w:rPr>
        <w:t>Learning experiences are the heart of your lesson plans. Remember that everything you do within the lesson plan must connect back to the generalizations that you are trying to get students to understand, and the learning experience within the lesson should reflect the lesson itself (Erikson, 2007):</w:t>
      </w:r>
    </w:p>
    <w:p w:rsidR="004434FD" w:rsidRPr="004434FD" w:rsidRDefault="004434FD" w:rsidP="004434FD">
      <w:pPr>
        <w:numPr>
          <w:ilvl w:val="0"/>
          <w:numId w:val="1"/>
        </w:numPr>
        <w:spacing w:before="100" w:beforeAutospacing="1" w:after="100" w:afterAutospacing="1" w:line="240" w:lineRule="auto"/>
        <w:ind w:left="3043"/>
        <w:rPr>
          <w:rFonts w:ascii="Arial" w:eastAsia="Times New Roman" w:hAnsi="Arial" w:cs="Arial"/>
          <w:color w:val="000000"/>
          <w:sz w:val="28"/>
          <w:szCs w:val="28"/>
        </w:rPr>
      </w:pPr>
      <w:r w:rsidRPr="004434FD">
        <w:rPr>
          <w:rFonts w:ascii="Arial" w:eastAsia="Times New Roman" w:hAnsi="Arial" w:cs="Arial"/>
          <w:color w:val="000000"/>
          <w:sz w:val="28"/>
          <w:szCs w:val="28"/>
          <w:shd w:val="clear" w:color="auto" w:fill="FFFFFF"/>
        </w:rPr>
        <w:t>coherent</w:t>
      </w:r>
    </w:p>
    <w:p w:rsidR="004434FD" w:rsidRPr="004434FD" w:rsidRDefault="004434FD" w:rsidP="004434FD">
      <w:pPr>
        <w:numPr>
          <w:ilvl w:val="0"/>
          <w:numId w:val="1"/>
        </w:numPr>
        <w:spacing w:before="100" w:beforeAutospacing="1" w:after="100" w:afterAutospacing="1" w:line="240" w:lineRule="auto"/>
        <w:ind w:left="3043"/>
        <w:rPr>
          <w:rFonts w:ascii="Arial" w:eastAsia="Times New Roman" w:hAnsi="Arial" w:cs="Arial"/>
          <w:color w:val="000000"/>
          <w:sz w:val="28"/>
          <w:szCs w:val="28"/>
        </w:rPr>
      </w:pPr>
      <w:r w:rsidRPr="004434FD">
        <w:rPr>
          <w:rFonts w:ascii="Arial" w:eastAsia="Times New Roman" w:hAnsi="Arial" w:cs="Arial"/>
          <w:color w:val="000000"/>
          <w:sz w:val="28"/>
          <w:szCs w:val="28"/>
          <w:shd w:val="clear" w:color="auto" w:fill="FFFFFF"/>
        </w:rPr>
        <w:t>interesting</w:t>
      </w:r>
    </w:p>
    <w:p w:rsidR="004434FD" w:rsidRPr="004434FD" w:rsidRDefault="004434FD" w:rsidP="004434FD">
      <w:pPr>
        <w:numPr>
          <w:ilvl w:val="0"/>
          <w:numId w:val="1"/>
        </w:numPr>
        <w:spacing w:before="100" w:beforeAutospacing="1" w:after="100" w:afterAutospacing="1" w:line="240" w:lineRule="auto"/>
        <w:ind w:left="3043"/>
        <w:rPr>
          <w:rFonts w:ascii="Arial" w:eastAsia="Times New Roman" w:hAnsi="Arial" w:cs="Arial"/>
          <w:color w:val="000000"/>
          <w:sz w:val="28"/>
          <w:szCs w:val="28"/>
        </w:rPr>
      </w:pPr>
      <w:r w:rsidRPr="004434FD">
        <w:rPr>
          <w:rFonts w:ascii="Arial" w:eastAsia="Times New Roman" w:hAnsi="Arial" w:cs="Arial"/>
          <w:color w:val="000000"/>
          <w:sz w:val="28"/>
          <w:szCs w:val="28"/>
          <w:shd w:val="clear" w:color="auto" w:fill="FFFFFF"/>
        </w:rPr>
        <w:t>time-worthy</w:t>
      </w:r>
    </w:p>
    <w:p w:rsidR="004434FD" w:rsidRPr="004434FD" w:rsidRDefault="004434FD" w:rsidP="004434FD">
      <w:pPr>
        <w:numPr>
          <w:ilvl w:val="0"/>
          <w:numId w:val="1"/>
        </w:numPr>
        <w:spacing w:before="100" w:beforeAutospacing="1" w:after="100" w:afterAutospacing="1" w:line="240" w:lineRule="auto"/>
        <w:ind w:left="3043"/>
        <w:rPr>
          <w:rFonts w:ascii="Arial" w:eastAsia="Times New Roman" w:hAnsi="Arial" w:cs="Arial"/>
          <w:color w:val="000000"/>
          <w:sz w:val="28"/>
          <w:szCs w:val="28"/>
        </w:rPr>
      </w:pPr>
      <w:r w:rsidRPr="004434FD">
        <w:rPr>
          <w:rFonts w:ascii="Arial" w:eastAsia="Times New Roman" w:hAnsi="Arial" w:cs="Arial"/>
          <w:color w:val="000000"/>
          <w:sz w:val="28"/>
          <w:szCs w:val="28"/>
          <w:shd w:val="clear" w:color="auto" w:fill="FFFFFF"/>
        </w:rPr>
        <w:t>aligned to the standards</w:t>
      </w:r>
    </w:p>
    <w:p w:rsidR="004434FD" w:rsidRPr="004434FD" w:rsidRDefault="004434FD" w:rsidP="004434FD">
      <w:pPr>
        <w:numPr>
          <w:ilvl w:val="0"/>
          <w:numId w:val="1"/>
        </w:numPr>
        <w:spacing w:before="100" w:beforeAutospacing="1" w:after="100" w:afterAutospacing="1" w:line="240" w:lineRule="auto"/>
        <w:ind w:left="3043"/>
        <w:rPr>
          <w:rFonts w:ascii="Arial" w:eastAsia="Times New Roman" w:hAnsi="Arial" w:cs="Arial"/>
          <w:color w:val="000000"/>
          <w:sz w:val="28"/>
          <w:szCs w:val="28"/>
        </w:rPr>
      </w:pPr>
      <w:r w:rsidRPr="004434FD">
        <w:rPr>
          <w:rFonts w:ascii="Arial" w:eastAsia="Times New Roman" w:hAnsi="Arial" w:cs="Arial"/>
          <w:color w:val="000000"/>
          <w:sz w:val="28"/>
          <w:szCs w:val="28"/>
          <w:shd w:val="clear" w:color="auto" w:fill="FFFFFF"/>
        </w:rPr>
        <w:t>differentiated</w:t>
      </w:r>
    </w:p>
    <w:p w:rsidR="005505FF" w:rsidRDefault="004434FD" w:rsidP="00240AB6">
      <w:pPr>
        <w:rPr>
          <w:rFonts w:ascii="Arial" w:eastAsia="Times New Roman" w:hAnsi="Arial" w:cs="Arial"/>
          <w:color w:val="000000"/>
          <w:sz w:val="28"/>
          <w:szCs w:val="28"/>
          <w:shd w:val="clear" w:color="auto" w:fill="FFFFFF"/>
        </w:rPr>
      </w:pPr>
      <w:r w:rsidRPr="005505FF">
        <w:rPr>
          <w:rFonts w:ascii="Arial" w:eastAsia="Times New Roman" w:hAnsi="Arial" w:cs="Arial"/>
          <w:color w:val="000000"/>
          <w:sz w:val="28"/>
          <w:szCs w:val="28"/>
        </w:rPr>
        <w:br/>
      </w:r>
      <w:r w:rsidRPr="005505FF">
        <w:rPr>
          <w:rFonts w:ascii="Arial" w:eastAsia="Times New Roman" w:hAnsi="Arial" w:cs="Arial"/>
          <w:color w:val="000000"/>
          <w:sz w:val="28"/>
          <w:szCs w:val="28"/>
          <w:shd w:val="clear" w:color="auto" w:fill="FFFFFF"/>
        </w:rPr>
        <w:t>If you remember that the learning experience should allow the students to eventually "demonstrate a transferable, conceptual understanding" (Erikson, 2007, p. 86), then what you create will be enjoyable and successful for both you and your students!</w:t>
      </w:r>
    </w:p>
    <w:p w:rsidR="005505FF" w:rsidRDefault="005505FF">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br w:type="page"/>
      </w:r>
    </w:p>
    <w:tbl>
      <w:tblPr>
        <w:tblStyle w:val="TableGrid"/>
        <w:tblW w:w="0" w:type="auto"/>
        <w:tblLook w:val="04A0"/>
      </w:tblPr>
      <w:tblGrid>
        <w:gridCol w:w="2460"/>
        <w:gridCol w:w="2459"/>
        <w:gridCol w:w="2556"/>
        <w:gridCol w:w="2101"/>
      </w:tblGrid>
      <w:tr w:rsidR="00240AB6" w:rsidRPr="005505FF" w:rsidTr="00240AB6">
        <w:tc>
          <w:tcPr>
            <w:tcW w:w="2460" w:type="dxa"/>
          </w:tcPr>
          <w:p w:rsidR="00240AB6" w:rsidRPr="005505FF" w:rsidRDefault="00240AB6" w:rsidP="00240AB6">
            <w:pPr>
              <w:rPr>
                <w:sz w:val="24"/>
                <w:szCs w:val="24"/>
              </w:rPr>
            </w:pPr>
            <w:r w:rsidRPr="005505FF">
              <w:rPr>
                <w:sz w:val="24"/>
                <w:szCs w:val="24"/>
              </w:rPr>
              <w:lastRenderedPageBreak/>
              <w:t>Learning Experience</w:t>
            </w:r>
          </w:p>
        </w:tc>
        <w:tc>
          <w:tcPr>
            <w:tcW w:w="2459" w:type="dxa"/>
          </w:tcPr>
          <w:p w:rsidR="00240AB6" w:rsidRPr="005505FF" w:rsidRDefault="00240AB6" w:rsidP="00240AB6">
            <w:pPr>
              <w:rPr>
                <w:sz w:val="24"/>
                <w:szCs w:val="24"/>
              </w:rPr>
            </w:pPr>
            <w:r w:rsidRPr="005505FF">
              <w:rPr>
                <w:sz w:val="24"/>
                <w:szCs w:val="24"/>
              </w:rPr>
              <w:t>How does it align with standards?</w:t>
            </w:r>
          </w:p>
        </w:tc>
        <w:tc>
          <w:tcPr>
            <w:tcW w:w="2556" w:type="dxa"/>
          </w:tcPr>
          <w:p w:rsidR="00240AB6" w:rsidRPr="005505FF" w:rsidRDefault="00240AB6" w:rsidP="00240AB6">
            <w:pPr>
              <w:rPr>
                <w:sz w:val="24"/>
                <w:szCs w:val="24"/>
              </w:rPr>
            </w:pPr>
            <w:r w:rsidRPr="005505FF">
              <w:rPr>
                <w:sz w:val="24"/>
                <w:szCs w:val="24"/>
              </w:rPr>
              <w:t>How does it engage students in order to prepare them for the final performance task expectations?</w:t>
            </w:r>
          </w:p>
        </w:tc>
        <w:tc>
          <w:tcPr>
            <w:tcW w:w="2101" w:type="dxa"/>
          </w:tcPr>
          <w:p w:rsidR="00240AB6" w:rsidRPr="005505FF" w:rsidRDefault="00240AB6" w:rsidP="00240AB6">
            <w:pPr>
              <w:rPr>
                <w:sz w:val="24"/>
                <w:szCs w:val="24"/>
              </w:rPr>
            </w:pPr>
            <w:r w:rsidRPr="005505FF">
              <w:rPr>
                <w:sz w:val="24"/>
                <w:szCs w:val="24"/>
              </w:rPr>
              <w:t>If applicable, how would you “tweak” the learning experience to ensure “transferable, conceptual understanding”?</w:t>
            </w:r>
          </w:p>
        </w:tc>
      </w:tr>
      <w:tr w:rsidR="00240AB6" w:rsidRPr="005505FF" w:rsidTr="00240AB6">
        <w:tc>
          <w:tcPr>
            <w:tcW w:w="2460" w:type="dxa"/>
          </w:tcPr>
          <w:p w:rsidR="00240AB6" w:rsidRPr="005505FF" w:rsidRDefault="00240AB6" w:rsidP="00240AB6">
            <w:pPr>
              <w:rPr>
                <w:sz w:val="24"/>
                <w:szCs w:val="24"/>
              </w:rPr>
            </w:pPr>
          </w:p>
        </w:tc>
        <w:tc>
          <w:tcPr>
            <w:tcW w:w="2459" w:type="dxa"/>
          </w:tcPr>
          <w:p w:rsidR="00240AB6" w:rsidRPr="005505FF" w:rsidRDefault="00240AB6" w:rsidP="00240AB6">
            <w:pPr>
              <w:rPr>
                <w:sz w:val="24"/>
                <w:szCs w:val="24"/>
              </w:rPr>
            </w:pPr>
          </w:p>
        </w:tc>
        <w:tc>
          <w:tcPr>
            <w:tcW w:w="2556" w:type="dxa"/>
          </w:tcPr>
          <w:p w:rsidR="00240AB6" w:rsidRPr="005505FF" w:rsidRDefault="00240AB6" w:rsidP="00240AB6">
            <w:pPr>
              <w:rPr>
                <w:sz w:val="24"/>
                <w:szCs w:val="24"/>
              </w:rPr>
            </w:pPr>
          </w:p>
        </w:tc>
        <w:tc>
          <w:tcPr>
            <w:tcW w:w="2101" w:type="dxa"/>
          </w:tcPr>
          <w:p w:rsidR="00240AB6" w:rsidRPr="005505FF" w:rsidRDefault="00240AB6" w:rsidP="00240AB6">
            <w:pPr>
              <w:rPr>
                <w:sz w:val="24"/>
                <w:szCs w:val="24"/>
              </w:rPr>
            </w:pPr>
          </w:p>
        </w:tc>
      </w:tr>
      <w:tr w:rsidR="00240AB6" w:rsidRPr="005505FF" w:rsidTr="00240AB6">
        <w:tc>
          <w:tcPr>
            <w:tcW w:w="2460" w:type="dxa"/>
          </w:tcPr>
          <w:p w:rsidR="00240AB6" w:rsidRPr="005505FF" w:rsidRDefault="00240AB6" w:rsidP="00240AB6">
            <w:pPr>
              <w:rPr>
                <w:sz w:val="24"/>
                <w:szCs w:val="24"/>
              </w:rPr>
            </w:pPr>
          </w:p>
        </w:tc>
        <w:tc>
          <w:tcPr>
            <w:tcW w:w="2459" w:type="dxa"/>
          </w:tcPr>
          <w:p w:rsidR="00240AB6" w:rsidRPr="005505FF" w:rsidRDefault="00240AB6" w:rsidP="00240AB6">
            <w:pPr>
              <w:rPr>
                <w:sz w:val="24"/>
                <w:szCs w:val="24"/>
              </w:rPr>
            </w:pPr>
          </w:p>
        </w:tc>
        <w:tc>
          <w:tcPr>
            <w:tcW w:w="2556" w:type="dxa"/>
          </w:tcPr>
          <w:p w:rsidR="00240AB6" w:rsidRPr="005505FF" w:rsidRDefault="00240AB6" w:rsidP="00240AB6">
            <w:pPr>
              <w:rPr>
                <w:sz w:val="24"/>
                <w:szCs w:val="24"/>
              </w:rPr>
            </w:pPr>
          </w:p>
        </w:tc>
        <w:tc>
          <w:tcPr>
            <w:tcW w:w="2101" w:type="dxa"/>
          </w:tcPr>
          <w:p w:rsidR="00240AB6" w:rsidRPr="005505FF" w:rsidRDefault="00240AB6" w:rsidP="00240AB6">
            <w:pPr>
              <w:rPr>
                <w:sz w:val="24"/>
                <w:szCs w:val="24"/>
              </w:rPr>
            </w:pPr>
          </w:p>
        </w:tc>
      </w:tr>
      <w:tr w:rsidR="00240AB6" w:rsidRPr="005505FF" w:rsidTr="00240AB6">
        <w:tc>
          <w:tcPr>
            <w:tcW w:w="2460" w:type="dxa"/>
          </w:tcPr>
          <w:p w:rsidR="00240AB6" w:rsidRPr="005505FF" w:rsidRDefault="00240AB6" w:rsidP="00240AB6">
            <w:pPr>
              <w:rPr>
                <w:sz w:val="24"/>
                <w:szCs w:val="24"/>
              </w:rPr>
            </w:pPr>
          </w:p>
        </w:tc>
        <w:tc>
          <w:tcPr>
            <w:tcW w:w="2459" w:type="dxa"/>
          </w:tcPr>
          <w:p w:rsidR="00240AB6" w:rsidRPr="005505FF" w:rsidRDefault="00240AB6" w:rsidP="00240AB6">
            <w:pPr>
              <w:rPr>
                <w:sz w:val="24"/>
                <w:szCs w:val="24"/>
              </w:rPr>
            </w:pPr>
          </w:p>
        </w:tc>
        <w:tc>
          <w:tcPr>
            <w:tcW w:w="2556" w:type="dxa"/>
          </w:tcPr>
          <w:p w:rsidR="00240AB6" w:rsidRPr="005505FF" w:rsidRDefault="00240AB6" w:rsidP="00240AB6">
            <w:pPr>
              <w:rPr>
                <w:sz w:val="24"/>
                <w:szCs w:val="24"/>
              </w:rPr>
            </w:pPr>
          </w:p>
        </w:tc>
        <w:tc>
          <w:tcPr>
            <w:tcW w:w="2101" w:type="dxa"/>
          </w:tcPr>
          <w:p w:rsidR="00240AB6" w:rsidRPr="005505FF" w:rsidRDefault="00240AB6" w:rsidP="00240AB6">
            <w:pPr>
              <w:rPr>
                <w:sz w:val="24"/>
                <w:szCs w:val="24"/>
              </w:rPr>
            </w:pPr>
          </w:p>
        </w:tc>
      </w:tr>
      <w:tr w:rsidR="00240AB6" w:rsidRPr="005505FF" w:rsidTr="00240AB6">
        <w:tc>
          <w:tcPr>
            <w:tcW w:w="2460" w:type="dxa"/>
          </w:tcPr>
          <w:p w:rsidR="00240AB6" w:rsidRPr="005505FF" w:rsidRDefault="00240AB6" w:rsidP="00240AB6">
            <w:pPr>
              <w:rPr>
                <w:sz w:val="24"/>
                <w:szCs w:val="24"/>
              </w:rPr>
            </w:pPr>
          </w:p>
        </w:tc>
        <w:tc>
          <w:tcPr>
            <w:tcW w:w="2459" w:type="dxa"/>
          </w:tcPr>
          <w:p w:rsidR="00240AB6" w:rsidRPr="005505FF" w:rsidRDefault="00240AB6" w:rsidP="00240AB6">
            <w:pPr>
              <w:rPr>
                <w:sz w:val="24"/>
                <w:szCs w:val="24"/>
              </w:rPr>
            </w:pPr>
          </w:p>
        </w:tc>
        <w:tc>
          <w:tcPr>
            <w:tcW w:w="2556" w:type="dxa"/>
          </w:tcPr>
          <w:p w:rsidR="00240AB6" w:rsidRPr="005505FF" w:rsidRDefault="00240AB6" w:rsidP="00240AB6">
            <w:pPr>
              <w:rPr>
                <w:sz w:val="24"/>
                <w:szCs w:val="24"/>
              </w:rPr>
            </w:pPr>
          </w:p>
        </w:tc>
        <w:tc>
          <w:tcPr>
            <w:tcW w:w="2101" w:type="dxa"/>
          </w:tcPr>
          <w:p w:rsidR="00240AB6" w:rsidRPr="005505FF" w:rsidRDefault="00240AB6" w:rsidP="00240AB6">
            <w:pPr>
              <w:rPr>
                <w:sz w:val="24"/>
                <w:szCs w:val="24"/>
              </w:rPr>
            </w:pPr>
          </w:p>
        </w:tc>
      </w:tr>
      <w:tr w:rsidR="00240AB6" w:rsidRPr="005505FF" w:rsidTr="00240AB6">
        <w:tc>
          <w:tcPr>
            <w:tcW w:w="2460" w:type="dxa"/>
          </w:tcPr>
          <w:p w:rsidR="00240AB6" w:rsidRPr="005505FF" w:rsidRDefault="00240AB6" w:rsidP="00240AB6">
            <w:pPr>
              <w:rPr>
                <w:sz w:val="24"/>
                <w:szCs w:val="24"/>
              </w:rPr>
            </w:pPr>
          </w:p>
        </w:tc>
        <w:tc>
          <w:tcPr>
            <w:tcW w:w="2459" w:type="dxa"/>
          </w:tcPr>
          <w:p w:rsidR="00240AB6" w:rsidRPr="005505FF" w:rsidRDefault="00240AB6" w:rsidP="00240AB6">
            <w:pPr>
              <w:rPr>
                <w:sz w:val="24"/>
                <w:szCs w:val="24"/>
              </w:rPr>
            </w:pPr>
          </w:p>
        </w:tc>
        <w:tc>
          <w:tcPr>
            <w:tcW w:w="2556" w:type="dxa"/>
          </w:tcPr>
          <w:p w:rsidR="00240AB6" w:rsidRPr="005505FF" w:rsidRDefault="00240AB6" w:rsidP="00240AB6">
            <w:pPr>
              <w:rPr>
                <w:sz w:val="24"/>
                <w:szCs w:val="24"/>
              </w:rPr>
            </w:pPr>
          </w:p>
        </w:tc>
        <w:tc>
          <w:tcPr>
            <w:tcW w:w="2101" w:type="dxa"/>
          </w:tcPr>
          <w:p w:rsidR="00240AB6" w:rsidRPr="005505FF" w:rsidRDefault="00240AB6" w:rsidP="00240AB6">
            <w:pPr>
              <w:rPr>
                <w:sz w:val="24"/>
                <w:szCs w:val="24"/>
              </w:rPr>
            </w:pPr>
          </w:p>
        </w:tc>
      </w:tr>
      <w:tr w:rsidR="00240AB6" w:rsidRPr="005505FF" w:rsidTr="00240AB6">
        <w:tc>
          <w:tcPr>
            <w:tcW w:w="2460" w:type="dxa"/>
          </w:tcPr>
          <w:p w:rsidR="00240AB6" w:rsidRPr="005505FF" w:rsidRDefault="00240AB6" w:rsidP="00240AB6">
            <w:pPr>
              <w:rPr>
                <w:sz w:val="24"/>
                <w:szCs w:val="24"/>
              </w:rPr>
            </w:pPr>
          </w:p>
        </w:tc>
        <w:tc>
          <w:tcPr>
            <w:tcW w:w="2459" w:type="dxa"/>
          </w:tcPr>
          <w:p w:rsidR="00240AB6" w:rsidRPr="005505FF" w:rsidRDefault="00240AB6" w:rsidP="00240AB6">
            <w:pPr>
              <w:rPr>
                <w:sz w:val="24"/>
                <w:szCs w:val="24"/>
              </w:rPr>
            </w:pPr>
          </w:p>
        </w:tc>
        <w:tc>
          <w:tcPr>
            <w:tcW w:w="2556" w:type="dxa"/>
          </w:tcPr>
          <w:p w:rsidR="00240AB6" w:rsidRPr="005505FF" w:rsidRDefault="00240AB6" w:rsidP="00240AB6">
            <w:pPr>
              <w:rPr>
                <w:sz w:val="24"/>
                <w:szCs w:val="24"/>
              </w:rPr>
            </w:pPr>
          </w:p>
        </w:tc>
        <w:tc>
          <w:tcPr>
            <w:tcW w:w="2101" w:type="dxa"/>
          </w:tcPr>
          <w:p w:rsidR="00240AB6" w:rsidRPr="005505FF" w:rsidRDefault="00240AB6" w:rsidP="00240AB6">
            <w:pPr>
              <w:rPr>
                <w:sz w:val="24"/>
                <w:szCs w:val="24"/>
              </w:rPr>
            </w:pPr>
          </w:p>
        </w:tc>
      </w:tr>
      <w:tr w:rsidR="00240AB6" w:rsidRPr="005505FF" w:rsidTr="00240AB6">
        <w:tc>
          <w:tcPr>
            <w:tcW w:w="2460" w:type="dxa"/>
          </w:tcPr>
          <w:p w:rsidR="00240AB6" w:rsidRPr="005505FF" w:rsidRDefault="00240AB6" w:rsidP="00240AB6">
            <w:pPr>
              <w:rPr>
                <w:sz w:val="24"/>
                <w:szCs w:val="24"/>
              </w:rPr>
            </w:pPr>
          </w:p>
        </w:tc>
        <w:tc>
          <w:tcPr>
            <w:tcW w:w="2459" w:type="dxa"/>
          </w:tcPr>
          <w:p w:rsidR="00240AB6" w:rsidRPr="005505FF" w:rsidRDefault="00240AB6" w:rsidP="00240AB6">
            <w:pPr>
              <w:rPr>
                <w:sz w:val="24"/>
                <w:szCs w:val="24"/>
              </w:rPr>
            </w:pPr>
          </w:p>
        </w:tc>
        <w:tc>
          <w:tcPr>
            <w:tcW w:w="2556" w:type="dxa"/>
          </w:tcPr>
          <w:p w:rsidR="00240AB6" w:rsidRPr="005505FF" w:rsidRDefault="00240AB6" w:rsidP="00240AB6">
            <w:pPr>
              <w:rPr>
                <w:sz w:val="24"/>
                <w:szCs w:val="24"/>
              </w:rPr>
            </w:pPr>
          </w:p>
        </w:tc>
        <w:tc>
          <w:tcPr>
            <w:tcW w:w="2101" w:type="dxa"/>
          </w:tcPr>
          <w:p w:rsidR="00240AB6" w:rsidRPr="005505FF" w:rsidRDefault="00240AB6" w:rsidP="00240AB6">
            <w:pPr>
              <w:rPr>
                <w:sz w:val="24"/>
                <w:szCs w:val="24"/>
              </w:rPr>
            </w:pPr>
          </w:p>
        </w:tc>
      </w:tr>
    </w:tbl>
    <w:p w:rsidR="00240AB6" w:rsidRDefault="00240AB6" w:rsidP="00240AB6"/>
    <w:sectPr w:rsidR="00240AB6" w:rsidSect="00F03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409C"/>
    <w:multiLevelType w:val="hybridMultilevel"/>
    <w:tmpl w:val="A7BC7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823D0"/>
    <w:multiLevelType w:val="multilevel"/>
    <w:tmpl w:val="22CA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34FD"/>
    <w:rsid w:val="000340CF"/>
    <w:rsid w:val="00240AB6"/>
    <w:rsid w:val="004434FD"/>
    <w:rsid w:val="005505FF"/>
    <w:rsid w:val="00EE7F65"/>
    <w:rsid w:val="00F03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B6"/>
    <w:pPr>
      <w:ind w:left="720"/>
      <w:contextualSpacing/>
    </w:pPr>
  </w:style>
  <w:style w:type="table" w:styleId="TableGrid">
    <w:name w:val="Table Grid"/>
    <w:basedOn w:val="TableNormal"/>
    <w:uiPriority w:val="59"/>
    <w:rsid w:val="00240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0833104">
      <w:bodyDiv w:val="1"/>
      <w:marLeft w:val="0"/>
      <w:marRight w:val="0"/>
      <w:marTop w:val="0"/>
      <w:marBottom w:val="0"/>
      <w:divBdr>
        <w:top w:val="none" w:sz="0" w:space="0" w:color="auto"/>
        <w:left w:val="none" w:sz="0" w:space="0" w:color="auto"/>
        <w:bottom w:val="none" w:sz="0" w:space="0" w:color="auto"/>
        <w:right w:val="none" w:sz="0" w:space="0" w:color="auto"/>
      </w:divBdr>
      <w:divsChild>
        <w:div w:id="1508670085">
          <w:marLeft w:val="0"/>
          <w:marRight w:val="0"/>
          <w:marTop w:val="0"/>
          <w:marBottom w:val="0"/>
          <w:divBdr>
            <w:top w:val="none" w:sz="0" w:space="0" w:color="auto"/>
            <w:left w:val="none" w:sz="0" w:space="0" w:color="auto"/>
            <w:bottom w:val="none" w:sz="0" w:space="0" w:color="auto"/>
            <w:right w:val="none" w:sz="0" w:space="0" w:color="auto"/>
          </w:divBdr>
          <w:divsChild>
            <w:div w:id="25838379">
              <w:marLeft w:val="2187"/>
              <w:marRight w:val="109"/>
              <w:marTop w:val="0"/>
              <w:marBottom w:val="0"/>
              <w:divBdr>
                <w:top w:val="none" w:sz="0" w:space="0" w:color="auto"/>
                <w:left w:val="none" w:sz="0" w:space="0" w:color="auto"/>
                <w:bottom w:val="none" w:sz="0" w:space="0" w:color="auto"/>
                <w:right w:val="none" w:sz="0" w:space="0" w:color="auto"/>
              </w:divBdr>
              <w:divsChild>
                <w:div w:id="1620145313">
                  <w:marLeft w:val="0"/>
                  <w:marRight w:val="0"/>
                  <w:marTop w:val="100"/>
                  <w:marBottom w:val="100"/>
                  <w:divBdr>
                    <w:top w:val="none" w:sz="0" w:space="0" w:color="auto"/>
                    <w:left w:val="none" w:sz="0" w:space="0" w:color="auto"/>
                    <w:bottom w:val="none" w:sz="0" w:space="0" w:color="auto"/>
                    <w:right w:val="none" w:sz="0" w:space="0" w:color="auto"/>
                  </w:divBdr>
                  <w:divsChild>
                    <w:div w:id="814179244">
                      <w:marLeft w:val="136"/>
                      <w:marRight w:val="136"/>
                      <w:marTop w:val="0"/>
                      <w:marBottom w:val="0"/>
                      <w:divBdr>
                        <w:top w:val="none" w:sz="0" w:space="0" w:color="auto"/>
                        <w:left w:val="none" w:sz="0" w:space="0" w:color="auto"/>
                        <w:bottom w:val="none" w:sz="0" w:space="0" w:color="auto"/>
                        <w:right w:val="none" w:sz="0" w:space="0" w:color="auto"/>
                      </w:divBdr>
                      <w:divsChild>
                        <w:div w:id="1964775290">
                          <w:marLeft w:val="0"/>
                          <w:marRight w:val="0"/>
                          <w:marTop w:val="0"/>
                          <w:marBottom w:val="0"/>
                          <w:divBdr>
                            <w:top w:val="none" w:sz="0" w:space="0" w:color="auto"/>
                            <w:left w:val="none" w:sz="0" w:space="0" w:color="auto"/>
                            <w:bottom w:val="none" w:sz="0" w:space="0" w:color="auto"/>
                            <w:right w:val="none" w:sz="0" w:space="0" w:color="auto"/>
                          </w:divBdr>
                          <w:divsChild>
                            <w:div w:id="1017930375">
                              <w:marLeft w:val="0"/>
                              <w:marRight w:val="0"/>
                              <w:marTop w:val="0"/>
                              <w:marBottom w:val="0"/>
                              <w:divBdr>
                                <w:top w:val="none" w:sz="0" w:space="0" w:color="auto"/>
                                <w:left w:val="none" w:sz="0" w:space="0" w:color="auto"/>
                                <w:bottom w:val="none" w:sz="0" w:space="0" w:color="auto"/>
                                <w:right w:val="none" w:sz="0" w:space="0" w:color="auto"/>
                              </w:divBdr>
                              <w:divsChild>
                                <w:div w:id="777263764">
                                  <w:marLeft w:val="0"/>
                                  <w:marRight w:val="0"/>
                                  <w:marTop w:val="0"/>
                                  <w:marBottom w:val="0"/>
                                  <w:divBdr>
                                    <w:top w:val="none" w:sz="0" w:space="0" w:color="auto"/>
                                    <w:left w:val="none" w:sz="0" w:space="0" w:color="auto"/>
                                    <w:bottom w:val="none" w:sz="0" w:space="0" w:color="auto"/>
                                    <w:right w:val="none" w:sz="0" w:space="0" w:color="auto"/>
                                  </w:divBdr>
                                  <w:divsChild>
                                    <w:div w:id="1436365492">
                                      <w:marLeft w:val="0"/>
                                      <w:marRight w:val="788"/>
                                      <w:marTop w:val="0"/>
                                      <w:marBottom w:val="0"/>
                                      <w:divBdr>
                                        <w:top w:val="none" w:sz="0" w:space="0" w:color="auto"/>
                                        <w:left w:val="none" w:sz="0" w:space="0" w:color="auto"/>
                                        <w:bottom w:val="none" w:sz="0" w:space="0" w:color="auto"/>
                                        <w:right w:val="none" w:sz="0" w:space="0" w:color="auto"/>
                                      </w:divBdr>
                                      <w:divsChild>
                                        <w:div w:id="407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242</Words>
  <Characters>1386</Characters>
  <Application>Microsoft Office Word</Application>
  <DocSecurity>0</DocSecurity>
  <Lines>11</Lines>
  <Paragraphs>3</Paragraphs>
  <ScaleCrop>false</ScaleCrop>
  <Company>Moore County Schools</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Gray</dc:creator>
  <cp:lastModifiedBy>Michelle Gray</cp:lastModifiedBy>
  <cp:revision>3</cp:revision>
  <dcterms:created xsi:type="dcterms:W3CDTF">2013-07-28T18:03:00Z</dcterms:created>
  <dcterms:modified xsi:type="dcterms:W3CDTF">2013-07-28T19:01:00Z</dcterms:modified>
</cp:coreProperties>
</file>